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830BBF" w:rsidRPr="006379C8" w:rsidTr="00830BBF">
        <w:trPr>
          <w:trHeight w:val="841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BF" w:rsidRDefault="00830BBF" w:rsidP="00AB7537">
            <w:pPr>
              <w:pStyle w:val="ConsPlusNormal"/>
              <w:jc w:val="center"/>
              <w:rPr>
                <w:b/>
                <w:color w:val="FF0000"/>
                <w:szCs w:val="22"/>
                <w:lang w:eastAsia="en-US"/>
              </w:rPr>
            </w:pPr>
            <w:r>
              <w:rPr>
                <w:b/>
                <w:color w:val="FF0000"/>
                <w:szCs w:val="22"/>
                <w:lang w:eastAsia="en-US"/>
              </w:rPr>
              <w:t xml:space="preserve">  </w:t>
            </w:r>
            <w:r w:rsidRPr="00531C11">
              <w:rPr>
                <w:b/>
                <w:color w:val="FF0000"/>
                <w:szCs w:val="22"/>
                <w:lang w:eastAsia="en-US"/>
              </w:rPr>
              <w:t>2025- Год 80-летия Победы в Великой Отечественной войне</w:t>
            </w:r>
          </w:p>
          <w:p w:rsidR="00830BBF" w:rsidRPr="00531C11" w:rsidRDefault="00830BBF" w:rsidP="00AB7537">
            <w:pPr>
              <w:pStyle w:val="ConsPlusNormal"/>
              <w:jc w:val="center"/>
              <w:rPr>
                <w:b/>
                <w:color w:val="FF0000"/>
                <w:szCs w:val="22"/>
                <w:lang w:eastAsia="en-US"/>
              </w:rPr>
            </w:pPr>
          </w:p>
          <w:tbl>
            <w:tblPr>
              <w:tblStyle w:val="a3"/>
              <w:tblW w:w="1066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5807"/>
            </w:tblGrid>
            <w:tr w:rsidR="00830BBF" w:rsidRPr="00531C11" w:rsidTr="00AB7537">
              <w:trPr>
                <w:trHeight w:val="2611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0BBF" w:rsidRDefault="00830BBF" w:rsidP="00AB7537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color w:val="FF0000"/>
                      <w:szCs w:val="22"/>
                      <w:lang w:eastAsia="en-US"/>
                    </w:rPr>
                  </w:pPr>
                  <w:r w:rsidRPr="00531C11">
                    <w:rPr>
                      <w:noProof/>
                      <w:szCs w:val="22"/>
                    </w:rPr>
                    <w:drawing>
                      <wp:inline distT="0" distB="0" distL="0" distR="0" wp14:anchorId="47CE03D6" wp14:editId="4575FA44">
                        <wp:extent cx="1371600" cy="1505273"/>
                        <wp:effectExtent l="0" t="0" r="0" b="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7890" cy="15231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31C11">
                    <w:rPr>
                      <w:noProof/>
                      <w:szCs w:val="22"/>
                    </w:rPr>
                    <w:drawing>
                      <wp:inline distT="0" distB="0" distL="0" distR="0" wp14:anchorId="5A0ECE28" wp14:editId="0507AB01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30BBF" w:rsidRPr="00531C11" w:rsidRDefault="00830BBF" w:rsidP="00AB7537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Cs w:val="22"/>
                      <w:lang w:eastAsia="en-US"/>
                    </w:rPr>
                  </w:pPr>
                  <w:r w:rsidRPr="00531C11">
                    <w:rPr>
                      <w:color w:val="FF0000"/>
                      <w:szCs w:val="22"/>
                      <w:lang w:eastAsia="en-US"/>
                    </w:rPr>
                    <w:t>Правовая</w:t>
                  </w:r>
                  <w:r w:rsidRPr="00531C11">
                    <w:rPr>
                      <w:szCs w:val="22"/>
                      <w:lang w:eastAsia="en-US"/>
                    </w:rPr>
                    <w:t xml:space="preserve"> </w:t>
                  </w:r>
                  <w:r w:rsidRPr="00531C11">
                    <w:rPr>
                      <w:color w:val="4472C4" w:themeColor="accent5"/>
                      <w:szCs w:val="22"/>
                      <w:lang w:eastAsia="en-US"/>
                    </w:rPr>
                    <w:t xml:space="preserve">инспекция </w:t>
                  </w:r>
                  <w:r w:rsidRPr="00531C11">
                    <w:rPr>
                      <w:color w:val="70AD47" w:themeColor="accent6"/>
                      <w:szCs w:val="22"/>
                      <w:lang w:eastAsia="en-US"/>
                    </w:rPr>
                    <w:t>труда</w:t>
                  </w:r>
                  <w:r w:rsidRPr="00531C11">
                    <w:rPr>
                      <w:szCs w:val="22"/>
                      <w:lang w:eastAsia="en-US"/>
                    </w:rPr>
                    <w:t xml:space="preserve"> Профсоюза</w:t>
                  </w:r>
                </w:p>
              </w:tc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0BBF" w:rsidRPr="00531C11" w:rsidRDefault="00830BBF" w:rsidP="00AB7537">
                  <w:pPr>
                    <w:jc w:val="center"/>
                    <w:rPr>
                      <w:b/>
                    </w:rPr>
                  </w:pPr>
                  <w:r w:rsidRPr="00531C11">
                    <w:rPr>
                      <w:b/>
                    </w:rPr>
                    <w:t xml:space="preserve">КАЛУЖСКАЯ ОБЛАСТНАЯ ОРГАНИЗАЦИЯ </w:t>
                  </w:r>
                </w:p>
                <w:p w:rsidR="00830BBF" w:rsidRPr="00531C11" w:rsidRDefault="00830BBF" w:rsidP="00AB7537">
                  <w:pPr>
                    <w:jc w:val="center"/>
                    <w:rPr>
                      <w:b/>
                    </w:rPr>
                  </w:pPr>
                  <w:r w:rsidRPr="00531C11">
                    <w:rPr>
                      <w:b/>
                    </w:rPr>
                    <w:t>ОБЩЕРОССИЙСКОГО ПРОФСОЮЗА ОБРАЗОВАНИЯ</w:t>
                  </w:r>
                </w:p>
                <w:p w:rsidR="00830BBF" w:rsidRPr="00531C11" w:rsidRDefault="00830BBF" w:rsidP="00AB7537">
                  <w:pPr>
                    <w:pStyle w:val="ConsPlusTitle"/>
                    <w:jc w:val="center"/>
                    <w:rPr>
                      <w:szCs w:val="22"/>
                    </w:rPr>
                  </w:pPr>
                </w:p>
                <w:p w:rsidR="00830BBF" w:rsidRPr="00531C11" w:rsidRDefault="00830BBF" w:rsidP="00AB7537">
                  <w:pPr>
                    <w:pStyle w:val="ConsPlusTitle"/>
                    <w:jc w:val="center"/>
                    <w:rPr>
                      <w:color w:val="222A35" w:themeColor="text2" w:themeShade="80"/>
                      <w:szCs w:val="22"/>
                      <w:lang w:eastAsia="en-US"/>
                    </w:rPr>
                  </w:pPr>
                  <w:hyperlink r:id="rId6" w:history="1">
                    <w:r w:rsidRPr="00531C11">
                      <w:rPr>
                        <w:rStyle w:val="a4"/>
                        <w:color w:val="222A35" w:themeColor="text2" w:themeShade="80"/>
                        <w:szCs w:val="22"/>
                      </w:rPr>
                      <w:t>https://www.eseur.ru/kaluga/</w:t>
                    </w:r>
                  </w:hyperlink>
                </w:p>
                <w:p w:rsidR="00830BBF" w:rsidRPr="00531C11" w:rsidRDefault="00830BBF" w:rsidP="00AB7537">
                  <w:pPr>
                    <w:pStyle w:val="ConsPlusTitle"/>
                    <w:jc w:val="center"/>
                    <w:rPr>
                      <w:color w:val="222A35" w:themeColor="text2" w:themeShade="80"/>
                      <w:szCs w:val="22"/>
                      <w:lang w:eastAsia="en-US"/>
                    </w:rPr>
                  </w:pPr>
                </w:p>
                <w:p w:rsidR="00830BBF" w:rsidRPr="00531C11" w:rsidRDefault="00830BBF" w:rsidP="00AB7537">
                  <w:pPr>
                    <w:pStyle w:val="ConsPlusTitle"/>
                    <w:jc w:val="center"/>
                    <w:rPr>
                      <w:color w:val="FF0000"/>
                      <w:szCs w:val="22"/>
                      <w:lang w:eastAsia="en-US"/>
                    </w:rPr>
                  </w:pPr>
                  <w:r w:rsidRPr="00531C11">
                    <w:rPr>
                      <w:color w:val="FF0000"/>
                      <w:szCs w:val="2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Cs w:val="22"/>
                      <w:lang w:eastAsia="en-US"/>
                    </w:rPr>
                    <w:t>22</w:t>
                  </w:r>
                </w:p>
                <w:p w:rsidR="00830BBF" w:rsidRDefault="00830BBF" w:rsidP="00830BBF">
                  <w:pPr>
                    <w:pStyle w:val="s74"/>
                    <w:shd w:val="clear" w:color="auto" w:fill="F0E9D3"/>
                    <w:spacing w:before="240" w:beforeAutospacing="0" w:after="240" w:afterAutospacing="0"/>
                    <w:jc w:val="center"/>
                    <w:rPr>
                      <w:color w:val="464C55"/>
                      <w:sz w:val="23"/>
                      <w:szCs w:val="23"/>
                    </w:rPr>
                  </w:pPr>
                  <w:r>
                    <w:rPr>
                      <w:rStyle w:val="s10"/>
                      <w:b/>
                      <w:bCs/>
                      <w:color w:val="464C55"/>
                      <w:sz w:val="23"/>
                      <w:szCs w:val="23"/>
                    </w:rPr>
                    <w:t>Мед</w:t>
                  </w:r>
                  <w:r>
                    <w:rPr>
                      <w:rStyle w:val="s10"/>
                      <w:b/>
                      <w:bCs/>
                      <w:color w:val="464C55"/>
                      <w:sz w:val="23"/>
                      <w:szCs w:val="23"/>
                    </w:rPr>
                    <w:t>осмотр после возобновления трудового договора</w:t>
                  </w:r>
                  <w:r>
                    <w:rPr>
                      <w:rStyle w:val="s10"/>
                      <w:b/>
                      <w:bCs/>
                      <w:color w:val="464C55"/>
                      <w:sz w:val="23"/>
                      <w:szCs w:val="23"/>
                    </w:rPr>
                    <w:t>…</w:t>
                  </w:r>
                </w:p>
                <w:p w:rsidR="00830BBF" w:rsidRPr="008C17D0" w:rsidRDefault="00830BBF" w:rsidP="00830BBF">
                  <w:pPr>
                    <w:pStyle w:val="s74"/>
                    <w:shd w:val="clear" w:color="auto" w:fill="F0E9D3"/>
                    <w:spacing w:before="240" w:beforeAutospacing="0" w:after="240" w:afterAutospacing="0"/>
                    <w:jc w:val="both"/>
                    <w:rPr>
                      <w:b/>
                      <w:bCs/>
                      <w:color w:val="ED7D31" w:themeColor="accent2"/>
                      <w:kern w:val="36"/>
                    </w:rPr>
                  </w:pPr>
                </w:p>
              </w:tc>
            </w:tr>
          </w:tbl>
          <w:p w:rsidR="00830BBF" w:rsidRDefault="00830BBF" w:rsidP="00830BBF">
            <w:pPr>
              <w:pStyle w:val="s74"/>
              <w:shd w:val="clear" w:color="auto" w:fill="F0E9D3"/>
              <w:spacing w:before="240" w:beforeAutospacing="0" w:after="240" w:afterAutospacing="0"/>
              <w:jc w:val="both"/>
              <w:rPr>
                <w:color w:val="464C55"/>
                <w:sz w:val="23"/>
                <w:szCs w:val="23"/>
              </w:rPr>
            </w:pPr>
            <w:r>
              <w:rPr>
                <w:rStyle w:val="s10"/>
                <w:b/>
                <w:bCs/>
                <w:color w:val="464C55"/>
                <w:sz w:val="23"/>
                <w:szCs w:val="23"/>
              </w:rPr>
              <w:t>Нужно ли проходить медицинский осмотр после возобновления трудового договора?</w:t>
            </w:r>
          </w:p>
          <w:p w:rsidR="00830BBF" w:rsidRPr="00830BBF" w:rsidRDefault="00830BBF" w:rsidP="00830BBF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 w:rsidRPr="00830BBF">
              <w:rPr>
                <w:color w:val="22272F"/>
                <w:sz w:val="20"/>
                <w:szCs w:val="20"/>
              </w:rPr>
              <w:t>Напомним, что действие трудового договора </w:t>
            </w:r>
            <w:hyperlink r:id="rId7" w:anchor="/document/12125268/entry/35171" w:history="1">
              <w:r w:rsidRPr="00830BBF">
                <w:rPr>
                  <w:rStyle w:val="a4"/>
                  <w:color w:val="3272C0"/>
                  <w:sz w:val="20"/>
                  <w:szCs w:val="20"/>
                </w:rPr>
                <w:t>приостанавливается</w:t>
              </w:r>
            </w:hyperlink>
            <w:r w:rsidRPr="00830BBF">
              <w:rPr>
                <w:color w:val="22272F"/>
                <w:sz w:val="20"/>
                <w:szCs w:val="20"/>
              </w:rPr>
              <w:t> на период прохождения работником военной службы, службы в войсках национальной гвардии или оказания им добровольного содействия в выполнении задач, возложенных на ВС РФ или войска национальной гвардии. </w:t>
            </w:r>
            <w:hyperlink r:id="rId8" w:anchor="/document/12125268/entry/35178" w:history="1">
              <w:r w:rsidRPr="00830BBF">
                <w:rPr>
                  <w:rStyle w:val="a4"/>
                  <w:color w:val="3272C0"/>
                  <w:sz w:val="20"/>
                  <w:szCs w:val="20"/>
                </w:rPr>
                <w:t>Возобновляется</w:t>
              </w:r>
            </w:hyperlink>
            <w:r w:rsidRPr="00830BBF">
              <w:rPr>
                <w:color w:val="22272F"/>
                <w:sz w:val="20"/>
                <w:szCs w:val="20"/>
              </w:rPr>
              <w:t> приостановленный трудовой договор в день выхода работника на работу.</w:t>
            </w:r>
          </w:p>
          <w:p w:rsidR="00830BBF" w:rsidRPr="00830BBF" w:rsidRDefault="00830BBF" w:rsidP="00830BBF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 w:rsidRPr="00830BBF">
              <w:rPr>
                <w:color w:val="22272F"/>
                <w:sz w:val="20"/>
                <w:szCs w:val="20"/>
              </w:rPr>
              <w:t xml:space="preserve">В Минтруд обратились с вопросом о необходимости проходить работнику медицинский осмотр после возобновления трудового </w:t>
            </w:r>
            <w:proofErr w:type="spellStart"/>
            <w:r w:rsidRPr="00830BBF">
              <w:rPr>
                <w:color w:val="22272F"/>
                <w:sz w:val="20"/>
                <w:szCs w:val="20"/>
              </w:rPr>
              <w:t>договора.В</w:t>
            </w:r>
            <w:proofErr w:type="spellEnd"/>
            <w:r w:rsidRPr="00830BBF">
              <w:rPr>
                <w:color w:val="22272F"/>
                <w:sz w:val="20"/>
                <w:szCs w:val="20"/>
              </w:rPr>
              <w:t xml:space="preserve"> ведомстве указали, что в период </w:t>
            </w:r>
            <w:hyperlink r:id="rId9" w:anchor="/document/12125268/entry/35173" w:history="1">
              <w:r w:rsidRPr="00830BBF">
                <w:rPr>
                  <w:rStyle w:val="a4"/>
                  <w:color w:val="3272C0"/>
                  <w:sz w:val="20"/>
                  <w:szCs w:val="20"/>
                </w:rPr>
                <w:t>приостановления</w:t>
              </w:r>
            </w:hyperlink>
            <w:r w:rsidRPr="00830BBF">
              <w:rPr>
                <w:color w:val="22272F"/>
                <w:sz w:val="20"/>
                <w:szCs w:val="20"/>
              </w:rPr>
              <w:t> действия трудового договора стороны трудового договора приостанавливают осуществление прав и обязанностей, установленных трудовым законодательством, локальными нормативными актами, а также прав и обязанностей, вытекающих из условий коллективного договора, соглашений, трудового договора. На период приостановления действия трудового договора в отношении работника сохраняются социально-трудовые гарантии, право на предоставление которых он получил до начала указанного периода.</w:t>
            </w:r>
          </w:p>
          <w:p w:rsidR="00830BBF" w:rsidRPr="00830BBF" w:rsidRDefault="00830BBF" w:rsidP="00830BBF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 w:rsidRPr="00830BBF">
              <w:rPr>
                <w:color w:val="22272F"/>
                <w:sz w:val="20"/>
                <w:szCs w:val="20"/>
              </w:rPr>
              <w:t>Трудовым кодексом РФ установлена </w:t>
            </w:r>
            <w:hyperlink r:id="rId10" w:anchor="/document/12125268/entry/214" w:history="1">
              <w:r w:rsidRPr="00830BBF">
                <w:rPr>
                  <w:rStyle w:val="a4"/>
                  <w:color w:val="3272C0"/>
                  <w:sz w:val="20"/>
                  <w:szCs w:val="20"/>
                </w:rPr>
                <w:t>обязанность</w:t>
              </w:r>
            </w:hyperlink>
            <w:r w:rsidRPr="00830BBF">
              <w:rPr>
                <w:color w:val="22272F"/>
                <w:sz w:val="20"/>
                <w:szCs w:val="20"/>
              </w:rPr>
              <w:t> работодателя по обеспечению организации проведения за счет собственных средств обязательных медицинских осмотров и </w:t>
            </w:r>
            <w:hyperlink r:id="rId11" w:anchor="/document/12125268/entry/220" w:history="1">
              <w:r w:rsidRPr="00830BBF">
                <w:rPr>
                  <w:rStyle w:val="a4"/>
                  <w:color w:val="3272C0"/>
                  <w:sz w:val="20"/>
                  <w:szCs w:val="20"/>
                </w:rPr>
                <w:t>определены</w:t>
              </w:r>
            </w:hyperlink>
            <w:r w:rsidRPr="00830BBF">
              <w:rPr>
                <w:color w:val="22272F"/>
                <w:sz w:val="20"/>
                <w:szCs w:val="20"/>
              </w:rPr>
              <w:t> категории работников, которые проходят такие осмотры.</w:t>
            </w:r>
          </w:p>
          <w:p w:rsidR="00830BBF" w:rsidRPr="00830BBF" w:rsidRDefault="00830BBF" w:rsidP="00830BBF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hyperlink r:id="rId12" w:anchor="/document/400258713/entry/1003" w:history="1">
              <w:r w:rsidRPr="00830BBF">
                <w:rPr>
                  <w:rStyle w:val="a4"/>
                  <w:color w:val="3272C0"/>
                  <w:sz w:val="20"/>
                  <w:szCs w:val="20"/>
                </w:rPr>
                <w:t>Обязательные</w:t>
              </w:r>
            </w:hyperlink>
            <w:r w:rsidRPr="00830BBF">
              <w:rPr>
                <w:color w:val="22272F"/>
                <w:sz w:val="20"/>
                <w:szCs w:val="20"/>
              </w:rPr>
              <w:t> периодические медицинские осмотры (обследования) проводятся в целях динамического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воздействия вредных и (или) опасных производственных факторов рабочей среды, трудового процесса на состояние здоровья работников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работ.</w:t>
            </w:r>
          </w:p>
          <w:p w:rsidR="00830BBF" w:rsidRPr="00830BBF" w:rsidRDefault="00830BBF" w:rsidP="00830BBF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 w:rsidRPr="00830BBF">
              <w:rPr>
                <w:color w:val="22272F"/>
                <w:sz w:val="20"/>
                <w:szCs w:val="20"/>
              </w:rPr>
              <w:t>На основании изложенного представители ведомства сообщили, что в случае, если трудовой договор не был расторгнут и при условии, что перечни вредных и (или) опасных производственных факторов, воздействующих на работника, и выполняемые им работы не изменились, и при этом срок очередного периодического осмотра не наступил, прохождение работником дополнительного периодического медицинского осмотра не требуется.</w:t>
            </w:r>
            <w:r w:rsidRPr="00830BBF">
              <w:rPr>
                <w:color w:val="22272F"/>
                <w:sz w:val="20"/>
                <w:szCs w:val="20"/>
              </w:rPr>
              <w:t xml:space="preserve"> </w:t>
            </w:r>
            <w:r w:rsidRPr="00830BBF">
              <w:rPr>
                <w:color w:val="22272F"/>
                <w:sz w:val="20"/>
                <w:szCs w:val="20"/>
              </w:rPr>
              <w:t>При этом чиновники отметили, что при переводе работника на работу по другой профессии, на которой он подвергается воздействию других вредных и (или) опасных факторов производственной среды и трудового процесса, по которым нет заключения, что эта работа ему не противопоказана, он обязан пройти медицинский осмотр с учетом всех факторов воздействия.</w:t>
            </w:r>
          </w:p>
          <w:p w:rsidR="00830BBF" w:rsidRDefault="00830BBF" w:rsidP="00830BBF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 w:rsidRPr="00830BBF">
              <w:rPr>
                <w:color w:val="22272F"/>
                <w:sz w:val="20"/>
                <w:szCs w:val="20"/>
              </w:rPr>
              <w:t>Также в ведомстве полагают, что работнику после возобновления трудового договора следует пройти медицинскую комиссию с целью определения ег</w:t>
            </w:r>
            <w:r w:rsidRPr="00830BBF">
              <w:rPr>
                <w:color w:val="22272F"/>
                <w:sz w:val="20"/>
                <w:szCs w:val="20"/>
              </w:rPr>
              <w:t>о годности к продолжению работ.</w:t>
            </w:r>
          </w:p>
          <w:p w:rsidR="00830BBF" w:rsidRPr="00830BBF" w:rsidRDefault="00830BBF" w:rsidP="00830BBF">
            <w:pPr>
              <w:pStyle w:val="s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830BBF" w:rsidRPr="00B54EC3" w:rsidTr="00AB7537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BF" w:rsidRPr="00B54EC3" w:rsidRDefault="00830BBF" w:rsidP="00AB7537">
            <w:pPr>
              <w:pStyle w:val="s1"/>
              <w:shd w:val="clear" w:color="auto" w:fill="FFFFFF"/>
              <w:jc w:val="both"/>
            </w:pPr>
          </w:p>
        </w:tc>
      </w:tr>
      <w:tr w:rsidR="00830BBF" w:rsidTr="00AB7537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BF" w:rsidRDefault="00830BBF" w:rsidP="00AB75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30BBF" w:rsidRPr="00D52B05" w:rsidRDefault="00830BBF" w:rsidP="00AB75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830BBF" w:rsidRPr="00D52B05" w:rsidRDefault="00830BBF" w:rsidP="00AB75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830BBF" w:rsidRPr="00D52B05" w:rsidRDefault="00830BBF" w:rsidP="00AB75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май, 2025</w:t>
            </w:r>
          </w:p>
          <w:p w:rsidR="00830BBF" w:rsidRDefault="00830BBF" w:rsidP="00AB75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13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1339BF" w:rsidRDefault="00830BBF"/>
    <w:sectPr w:rsidR="0013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BF"/>
    <w:rsid w:val="001545F9"/>
    <w:rsid w:val="00830BBF"/>
    <w:rsid w:val="00D4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B68E"/>
  <w15:chartTrackingRefBased/>
  <w15:docId w15:val="{B1E4B8C5-DBD8-45E0-9367-5FC390C2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B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30B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830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0BBF"/>
    <w:rPr>
      <w:color w:val="0000FF"/>
      <w:u w:val="single"/>
    </w:rPr>
  </w:style>
  <w:style w:type="paragraph" w:customStyle="1" w:styleId="s1">
    <w:name w:val="s_1"/>
    <w:basedOn w:val="a"/>
    <w:rsid w:val="0083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4">
    <w:name w:val="s_74"/>
    <w:basedOn w:val="a"/>
    <w:rsid w:val="0083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30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www.eseur.ru/kalug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2025-05-28T12:53:00Z</dcterms:created>
  <dcterms:modified xsi:type="dcterms:W3CDTF">2025-05-28T12:57:00Z</dcterms:modified>
</cp:coreProperties>
</file>