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2B5771" w:rsidRPr="006379C8" w:rsidTr="004465DC">
        <w:trPr>
          <w:trHeight w:val="84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1" w:rsidRDefault="002B5771" w:rsidP="004465DC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  <w:r>
              <w:rPr>
                <w:b/>
                <w:color w:val="FF0000"/>
                <w:szCs w:val="22"/>
                <w:lang w:eastAsia="en-US"/>
              </w:rPr>
              <w:t xml:space="preserve">  </w:t>
            </w:r>
            <w:r w:rsidRPr="00531C11">
              <w:rPr>
                <w:b/>
                <w:color w:val="FF0000"/>
                <w:szCs w:val="22"/>
                <w:lang w:eastAsia="en-US"/>
              </w:rPr>
              <w:t>2025- Год 80-летия Победы в Великой Отечественной войне</w:t>
            </w:r>
          </w:p>
          <w:p w:rsidR="002B5771" w:rsidRPr="00531C11" w:rsidRDefault="002B5771" w:rsidP="004465DC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807"/>
            </w:tblGrid>
            <w:tr w:rsidR="002B5771" w:rsidRPr="00531C11" w:rsidTr="004465DC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5771" w:rsidRDefault="002B5771" w:rsidP="004465DC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56B85FD9" wp14:editId="7A41E81D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4D728A09" wp14:editId="3E264B85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771" w:rsidRPr="00531C11" w:rsidRDefault="002B5771" w:rsidP="004465DC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Правовая</w:t>
                  </w:r>
                  <w:r w:rsidRPr="00531C11">
                    <w:rPr>
                      <w:szCs w:val="22"/>
                      <w:lang w:eastAsia="en-US"/>
                    </w:rPr>
                    <w:t xml:space="preserve"> </w:t>
                  </w:r>
                  <w:r w:rsidRPr="00531C11">
                    <w:rPr>
                      <w:color w:val="4472C4" w:themeColor="accent5"/>
                      <w:szCs w:val="22"/>
                      <w:lang w:eastAsia="en-US"/>
                    </w:rPr>
                    <w:t xml:space="preserve">инспекция </w:t>
                  </w:r>
                  <w:r w:rsidRPr="00531C11">
                    <w:rPr>
                      <w:color w:val="70AD47" w:themeColor="accent6"/>
                      <w:szCs w:val="22"/>
                      <w:lang w:eastAsia="en-US"/>
                    </w:rPr>
                    <w:t>труда</w:t>
                  </w:r>
                  <w:r w:rsidRPr="00531C11">
                    <w:rPr>
                      <w:szCs w:val="22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771" w:rsidRPr="00531C11" w:rsidRDefault="002B5771" w:rsidP="004465DC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 xml:space="preserve">КАЛУЖСКАЯ ОБЛАСТНАЯ ОРГАНИЗАЦИЯ </w:t>
                  </w:r>
                </w:p>
                <w:p w:rsidR="002B5771" w:rsidRPr="00531C11" w:rsidRDefault="002B5771" w:rsidP="004465DC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>ОБЩЕРОССИЙСКОГО ПРОФСОЮЗА ОБРАЗОВАНИЯ</w:t>
                  </w:r>
                </w:p>
                <w:p w:rsidR="002B5771" w:rsidRPr="00531C11" w:rsidRDefault="002B5771" w:rsidP="004465DC">
                  <w:pPr>
                    <w:pStyle w:val="ConsPlusTitle"/>
                    <w:jc w:val="center"/>
                    <w:rPr>
                      <w:szCs w:val="22"/>
                    </w:rPr>
                  </w:pPr>
                </w:p>
                <w:p w:rsidR="002B5771" w:rsidRPr="00531C11" w:rsidRDefault="002B5771" w:rsidP="004465DC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  <w:hyperlink r:id="rId6" w:history="1">
                    <w:r w:rsidRPr="00531C11">
                      <w:rPr>
                        <w:rStyle w:val="a4"/>
                        <w:color w:val="222A35" w:themeColor="text2" w:themeShade="80"/>
                        <w:szCs w:val="22"/>
                      </w:rPr>
                      <w:t>https://www.eseur.ru/kaluga/</w:t>
                    </w:r>
                  </w:hyperlink>
                </w:p>
                <w:p w:rsidR="002B5771" w:rsidRPr="00531C11" w:rsidRDefault="002B5771" w:rsidP="004465DC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</w:p>
                <w:p w:rsidR="002B5771" w:rsidRPr="00531C11" w:rsidRDefault="002B5771" w:rsidP="004465DC">
                  <w:pPr>
                    <w:pStyle w:val="ConsPlusTitle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Cs w:val="22"/>
                      <w:lang w:eastAsia="en-US"/>
                    </w:rPr>
                    <w:t>28</w:t>
                  </w:r>
                </w:p>
                <w:p w:rsidR="002B5771" w:rsidRDefault="002B5771" w:rsidP="002B5771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both"/>
                    <w:rPr>
                      <w:color w:val="464C55"/>
                      <w:sz w:val="23"/>
                      <w:szCs w:val="23"/>
                    </w:rPr>
                  </w:pPr>
                  <w:r>
                    <w:rPr>
                      <w:rStyle w:val="s10"/>
                      <w:b/>
                      <w:bCs/>
                      <w:color w:val="464C55"/>
                      <w:sz w:val="23"/>
                      <w:szCs w:val="23"/>
                    </w:rPr>
                    <w:t>Подать документы на компенсацию расходов по сокращению травматизма можно онлайн</w:t>
                  </w:r>
                </w:p>
                <w:p w:rsidR="002B5771" w:rsidRPr="008C17D0" w:rsidRDefault="002B5771" w:rsidP="004465DC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b/>
                      <w:bCs/>
                      <w:color w:val="ED7D31" w:themeColor="accent2"/>
                      <w:kern w:val="36"/>
                    </w:rPr>
                  </w:pPr>
                </w:p>
              </w:tc>
            </w:tr>
          </w:tbl>
          <w:p w:rsidR="002B5771" w:rsidRPr="00830BBF" w:rsidRDefault="002B5771" w:rsidP="004465DC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2B5771" w:rsidRPr="00B54EC3" w:rsidTr="004465DC">
        <w:trPr>
          <w:trHeight w:val="9648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1" w:rsidRDefault="002B5771" w:rsidP="002B5771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</w:p>
          <w:bookmarkStart w:id="0" w:name="_GoBack"/>
          <w:bookmarkEnd w:id="0"/>
          <w:p w:rsidR="002B5771" w:rsidRPr="002B5771" w:rsidRDefault="002B5771" w:rsidP="002B5771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2B5771">
              <w:rPr>
                <w:color w:val="22272F"/>
              </w:rPr>
              <w:fldChar w:fldCharType="begin"/>
            </w:r>
            <w:r w:rsidRPr="002B5771">
              <w:rPr>
                <w:color w:val="22272F"/>
              </w:rPr>
              <w:instrText xml:space="preserve"> HYPERLINK "https://internet.garant.ru/" \l "/document/412053532/entry/0" </w:instrText>
            </w:r>
            <w:r w:rsidRPr="002B5771">
              <w:rPr>
                <w:color w:val="22272F"/>
              </w:rPr>
              <w:fldChar w:fldCharType="separate"/>
            </w:r>
            <w:r w:rsidRPr="002B5771">
              <w:rPr>
                <w:rStyle w:val="a4"/>
                <w:color w:val="3272C0"/>
              </w:rPr>
              <w:t>Информация СФР от 22 мая 2025 года</w:t>
            </w:r>
            <w:r w:rsidRPr="002B5771">
              <w:rPr>
                <w:color w:val="22272F"/>
              </w:rPr>
              <w:fldChar w:fldCharType="end"/>
            </w:r>
          </w:p>
          <w:p w:rsidR="002B5771" w:rsidRPr="002B5771" w:rsidRDefault="002B5771" w:rsidP="002B5771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2B5771">
              <w:rPr>
                <w:color w:val="22272F"/>
              </w:rPr>
              <w:t>Социальный фонд запустил электронный сервис, с помощью которого работодатели могут обратиться за возмещением расходов на профилактику травматизма и профзаболеваний. Такая опция теперь доступна компаниям на </w:t>
            </w:r>
            <w:hyperlink r:id="rId7" w:tgtFrame="_blank" w:history="1">
              <w:r w:rsidRPr="002B5771">
                <w:rPr>
                  <w:rStyle w:val="a4"/>
                  <w:color w:val="3272C0"/>
                </w:rPr>
                <w:t>портале</w:t>
              </w:r>
            </w:hyperlink>
            <w:r w:rsidRPr="002B5771">
              <w:rPr>
                <w:color w:val="22272F"/>
              </w:rPr>
              <w:t> </w:t>
            </w:r>
            <w:proofErr w:type="spellStart"/>
            <w:r w:rsidRPr="002B5771">
              <w:rPr>
                <w:color w:val="22272F"/>
              </w:rPr>
              <w:t>госуслуг</w:t>
            </w:r>
            <w:proofErr w:type="spellEnd"/>
            <w:r w:rsidRPr="002B5771">
              <w:rPr>
                <w:color w:val="22272F"/>
              </w:rPr>
              <w:t>. Ранее страхователи подавали заявление на финансирование проведенных мероприятий по охране труда в клиентских службах фонда или отправляли документы почтой.</w:t>
            </w:r>
          </w:p>
          <w:p w:rsidR="002B5771" w:rsidRPr="002B5771" w:rsidRDefault="002B5771" w:rsidP="002B5771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2B5771">
              <w:rPr>
                <w:color w:val="22272F"/>
              </w:rPr>
              <w:t>В электронном заявлении работодатель, как и раньше, указывает данные о согласованном в СФР плане финансового обеспечения, а также прикладывает данные о фактических затратах по нему. Документ подписывается УКЭП. Поданное через </w:t>
            </w:r>
            <w:hyperlink r:id="rId8" w:tgtFrame="_blank" w:history="1">
              <w:r w:rsidRPr="002B5771">
                <w:rPr>
                  <w:rStyle w:val="a4"/>
                  <w:color w:val="3272C0"/>
                </w:rPr>
                <w:t>"</w:t>
              </w:r>
              <w:proofErr w:type="spellStart"/>
              <w:r w:rsidRPr="002B5771">
                <w:rPr>
                  <w:rStyle w:val="a4"/>
                  <w:color w:val="3272C0"/>
                </w:rPr>
                <w:t>Госуслуги</w:t>
              </w:r>
              <w:proofErr w:type="spellEnd"/>
              <w:r w:rsidRPr="002B5771">
                <w:rPr>
                  <w:rStyle w:val="a4"/>
                  <w:color w:val="3272C0"/>
                </w:rPr>
                <w:t>"</w:t>
              </w:r>
            </w:hyperlink>
            <w:r w:rsidRPr="002B5771">
              <w:rPr>
                <w:color w:val="22272F"/>
              </w:rPr>
              <w:t> заявление Социальный фонд рассматривает в течение 15 рабочих дней.</w:t>
            </w:r>
          </w:p>
          <w:p w:rsidR="002B5771" w:rsidRPr="002B5771" w:rsidRDefault="002B5771" w:rsidP="002B5771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2B5771">
              <w:rPr>
                <w:color w:val="22272F"/>
              </w:rPr>
              <w:t>СФР напоминает, что по действующим правилам работодатели, у которых есть расходы на профилактические мероприятия по охране труда, могут частично возместить их за счет государства. Например, компенсировать до 20% соответствующих затрат из уплаченных взносов на страхование от НС и ПЗ. За отдельные предупредительные мероприятия работодатели могут вернуть до 30% страховых взносов.</w:t>
            </w:r>
          </w:p>
          <w:p w:rsidR="002B5771" w:rsidRPr="002B5771" w:rsidRDefault="002B5771" w:rsidP="002B5771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2B5771">
              <w:rPr>
                <w:color w:val="22272F"/>
              </w:rPr>
              <w:t>Помимо получения компенсации, электронные сервисы на </w:t>
            </w:r>
            <w:hyperlink r:id="rId9" w:tgtFrame="_blank" w:history="1">
              <w:r w:rsidRPr="002B5771">
                <w:rPr>
                  <w:rStyle w:val="a4"/>
                  <w:color w:val="3272C0"/>
                </w:rPr>
                <w:t>"</w:t>
              </w:r>
              <w:proofErr w:type="spellStart"/>
              <w:r w:rsidRPr="002B5771">
                <w:rPr>
                  <w:rStyle w:val="a4"/>
                  <w:color w:val="3272C0"/>
                </w:rPr>
                <w:t>Госуслугах</w:t>
              </w:r>
              <w:proofErr w:type="spellEnd"/>
              <w:r w:rsidRPr="002B5771">
                <w:rPr>
                  <w:rStyle w:val="a4"/>
                  <w:color w:val="3272C0"/>
                </w:rPr>
                <w:t>"</w:t>
              </w:r>
            </w:hyperlink>
            <w:r w:rsidRPr="002B5771">
              <w:rPr>
                <w:color w:val="22272F"/>
              </w:rPr>
              <w:t xml:space="preserve"> позволяют организациям обращаться в СФР и по другим вопросам. Например, запрашивать подтверждение регистрации в системе </w:t>
            </w:r>
            <w:proofErr w:type="spellStart"/>
            <w:r w:rsidRPr="002B5771">
              <w:rPr>
                <w:color w:val="22272F"/>
              </w:rPr>
              <w:t>персучета</w:t>
            </w:r>
            <w:proofErr w:type="spellEnd"/>
            <w:r w:rsidRPr="002B5771">
              <w:rPr>
                <w:color w:val="22272F"/>
              </w:rPr>
              <w:t xml:space="preserve">, получать приказы </w:t>
            </w:r>
            <w:proofErr w:type="spellStart"/>
            <w:r w:rsidRPr="002B5771">
              <w:rPr>
                <w:color w:val="22272F"/>
              </w:rPr>
              <w:t>Соцфонда</w:t>
            </w:r>
            <w:proofErr w:type="spellEnd"/>
            <w:r w:rsidRPr="002B5771">
              <w:rPr>
                <w:color w:val="22272F"/>
              </w:rPr>
              <w:t xml:space="preserve"> о финансировании мер по снижению травматизма, а также подтверждать вид экономической деятельности.</w:t>
            </w:r>
          </w:p>
          <w:p w:rsidR="002B5771" w:rsidRPr="002B5771" w:rsidRDefault="002B5771" w:rsidP="002B5771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2B5771">
              <w:rPr>
                <w:color w:val="22272F"/>
              </w:rPr>
              <w:t>На </w:t>
            </w:r>
            <w:hyperlink r:id="rId10" w:tgtFrame="_blank" w:history="1">
              <w:r w:rsidRPr="002B5771">
                <w:rPr>
                  <w:rStyle w:val="a4"/>
                  <w:color w:val="3272C0"/>
                </w:rPr>
                <w:t>портале</w:t>
              </w:r>
            </w:hyperlink>
            <w:r w:rsidRPr="002B5771">
              <w:rPr>
                <w:color w:val="22272F"/>
              </w:rPr>
              <w:t> Социального фонда также есть ряд полезных для компаний электронных сервисов. С их помощью можно подготовить и подать отчетность по пенсионному страхованию, направить сведения для электронных трудовых книжек, запросить выписку из электронной книжки для последующей выдачи работнику, а также проверить СНИЛС или оформить его новому сотруднику.</w:t>
            </w:r>
          </w:p>
          <w:p w:rsidR="002B5771" w:rsidRPr="002B5771" w:rsidRDefault="002B5771" w:rsidP="002B5771">
            <w:pPr>
              <w:pStyle w:val="s16"/>
              <w:shd w:val="clear" w:color="auto" w:fill="FFFFFF"/>
              <w:spacing w:before="0" w:beforeAutospacing="0" w:after="0" w:afterAutospacing="0" w:line="360" w:lineRule="auto"/>
              <w:jc w:val="both"/>
            </w:pPr>
          </w:p>
        </w:tc>
      </w:tr>
      <w:tr w:rsidR="002B5771" w:rsidTr="004465DC">
        <w:trPr>
          <w:trHeight w:val="170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1" w:rsidRDefault="002B5771" w:rsidP="00446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B5771" w:rsidRPr="00D52B05" w:rsidRDefault="002B5771" w:rsidP="00446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2B5771" w:rsidRPr="00D52B05" w:rsidRDefault="002B5771" w:rsidP="00446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2B5771" w:rsidRPr="00D52B05" w:rsidRDefault="002B5771" w:rsidP="00446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июнь, 2025</w:t>
            </w:r>
          </w:p>
          <w:p w:rsidR="002B5771" w:rsidRDefault="002B5771" w:rsidP="004465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1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2B5771" w:rsidRDefault="002B5771" w:rsidP="002B5771"/>
    <w:p w:rsidR="002B5771" w:rsidRDefault="002B5771" w:rsidP="002B5771"/>
    <w:p w:rsidR="002B5771" w:rsidRDefault="002B5771" w:rsidP="002B5771"/>
    <w:p w:rsidR="002B5771" w:rsidRDefault="002B5771" w:rsidP="002B5771"/>
    <w:p w:rsidR="002B5771" w:rsidRDefault="002B5771" w:rsidP="002B5771"/>
    <w:p w:rsidR="002B5771" w:rsidRDefault="002B5771" w:rsidP="002B5771"/>
    <w:p w:rsidR="001339BF" w:rsidRDefault="002B5771"/>
    <w:sectPr w:rsidR="001339BF" w:rsidSect="00F6116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71"/>
    <w:rsid w:val="001545F9"/>
    <w:rsid w:val="002B5771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AB31"/>
  <w15:chartTrackingRefBased/>
  <w15:docId w15:val="{D75C7D89-B42D-4FD9-B80A-E32ECDD8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B5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2B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5771"/>
    <w:rPr>
      <w:color w:val="0000FF"/>
      <w:u w:val="single"/>
    </w:rPr>
  </w:style>
  <w:style w:type="paragraph" w:customStyle="1" w:styleId="s1">
    <w:name w:val="s_1"/>
    <w:basedOn w:val="a"/>
    <w:rsid w:val="002B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2B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5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6">
    <w:name w:val="s_16"/>
    <w:basedOn w:val="a"/>
    <w:rsid w:val="002B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B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sfr.gov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2025-06-06T12:08:00Z</dcterms:created>
  <dcterms:modified xsi:type="dcterms:W3CDTF">2025-06-06T12:11:00Z</dcterms:modified>
</cp:coreProperties>
</file>